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375" w:lineRule="atLeast"/>
        <w:ind w:left="0" w:right="0"/>
        <w:jc w:val="center"/>
        <w:rPr>
          <w:rFonts w:hint="eastAsia" w:eastAsia="黑体"/>
          <w:sz w:val="32"/>
          <w:szCs w:val="32"/>
          <w:lang w:val="en-US" w:eastAsia="zh-CN"/>
        </w:rPr>
      </w:pPr>
      <w:r>
        <w:rPr>
          <w:rStyle w:val="5"/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广西社会道德文化研究会</w:t>
      </w:r>
      <w:bookmarkStart w:id="0" w:name="_GoBack"/>
      <w:r>
        <w:rPr>
          <w:rStyle w:val="5"/>
          <w:rFonts w:ascii="黑体" w:hAnsi="宋体" w:eastAsia="黑体" w:cs="黑体"/>
          <w:kern w:val="0"/>
          <w:sz w:val="32"/>
          <w:szCs w:val="32"/>
          <w:lang w:val="en-US" w:eastAsia="zh-CN" w:bidi="ar"/>
        </w:rPr>
        <w:t>经费管理</w:t>
      </w:r>
      <w:r>
        <w:rPr>
          <w:rStyle w:val="5"/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办法</w:t>
      </w:r>
      <w:bookmarkEnd w:id="0"/>
    </w:p>
    <w:p>
      <w:pPr>
        <w:keepNext w:val="0"/>
        <w:keepLines w:val="0"/>
        <w:widowControl/>
        <w:suppressLineNumbers w:val="0"/>
        <w:spacing w:before="0" w:beforeAutospacing="1" w:after="0" w:afterAutospacing="1" w:line="375" w:lineRule="atLeast"/>
        <w:ind w:left="0" w:right="0" w:firstLine="48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第一条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加强经费统一管理。经费必须全部纳入研究会财务统一管理，集中核算，具体参照《 广西社会道德文化研究会首席专家负责制管理办法》和《广西社会道德文化研究会高端智库建设经费保障制度》，并确保经费专款专用，不得截留、挪用或挤占项目经费。经费必须转入研究会账户，财务根据项目经费到账情况为智库项目建立专门的账户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75" w:lineRule="atLeast"/>
        <w:ind w:left="0" w:right="0" w:firstLine="48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第二条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规范经费支出管理。科研经费的使用实行首席专家负责制。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首席专家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应按项目（委托）部门（单位）和研究会的有关规定，认真履行职责，并对其管理的经费开支的真实性、可靠性负法律责任。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75" w:lineRule="atLeast"/>
        <w:ind w:left="0" w:right="0" w:firstLine="48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项目经费的使用一般由首席专家审批，首席专家本人使用经费由研究会主管领导审批。经费支出按照额度实现分级审批制度，具体参照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《 广西社会道德文化研究会首席专家负责制管理办法》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执行。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75" w:lineRule="atLeast"/>
        <w:ind w:left="0" w:right="0" w:firstLine="48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第三条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严格外拨经费审核。智库建设项目的外拨经费支出应当以合作（外协）项目合同为依据，按照合同约定的外拨经费额度、拨付方式、开户银行和账号等条款办理。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75" w:lineRule="atLeast"/>
        <w:ind w:left="0" w:right="0" w:firstLine="48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第四条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项目结题后，结余经费按照项目来源部门相关经费管理办法办理。未有明确规定的可以由项目组遵循本经费管理要求继续使用，根据智库建设项目特点，验收完成的智库建设项目可提取不超过项目总经费的25%作为绩效。属于个人收入的必须交纳个人所得税。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75" w:lineRule="atLeast"/>
        <w:ind w:left="0" w:right="0" w:firstLine="48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             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75" w:lineRule="atLeast"/>
        <w:ind w:left="0" w:right="0" w:firstLine="3296" w:firstLineChars="1026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 xml:space="preserve">  广西社会道德文化研究会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75" w:lineRule="atLeast"/>
        <w:ind w:left="0" w:right="0" w:firstLine="480"/>
        <w:jc w:val="left"/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 xml:space="preserve">                        2020年8月19日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02A4E"/>
    <w:rsid w:val="0E215F35"/>
    <w:rsid w:val="66E0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Hyperlink"/>
    <w:basedOn w:val="4"/>
    <w:uiPriority w:val="0"/>
    <w:rPr>
      <w:color w:val="000000"/>
      <w:u w:val="none"/>
    </w:rPr>
  </w:style>
  <w:style w:type="character" w:customStyle="1" w:styleId="8">
    <w:name w:val="value"/>
    <w:basedOn w:val="4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2021-11-15T08:49:00Z</dcterms:created>
  <dc:creator>欧歌</dc:creator>
  <cp:lastModifiedBy>欧歌</cp:lastModifiedBy>
  <dcterms:modified xsi:type="dcterms:W3CDTF">2021-11-17T02:49:21Z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9CA414A23B804F52B1096CC8FE736216</vt:lpwstr>
  </property>
</Properties>
</file>