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ascii="黑体" w:hAnsi="仿宋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仿宋" w:eastAsia="黑体" w:cs="宋体"/>
          <w:b/>
          <w:bCs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仿宋" w:eastAsia="黑体" w:cs="宋体"/>
          <w:b/>
          <w:bCs/>
          <w:kern w:val="0"/>
          <w:sz w:val="32"/>
          <w:szCs w:val="32"/>
          <w:lang w:eastAsia="zh-CN"/>
        </w:rPr>
        <w:t>广西社会道德文化研究会</w:t>
      </w:r>
      <w:r>
        <w:rPr>
          <w:rFonts w:hint="eastAsia" w:ascii="黑体" w:hAnsi="仿宋" w:eastAsia="黑体" w:cs="宋体"/>
          <w:b/>
          <w:bCs/>
          <w:kern w:val="0"/>
          <w:sz w:val="32"/>
          <w:szCs w:val="32"/>
        </w:rPr>
        <w:t>首席专家负责制管理办法</w:t>
      </w:r>
    </w:p>
    <w:p>
      <w:pPr>
        <w:widowControl/>
        <w:snapToGrid w:val="0"/>
        <w:spacing w:line="360" w:lineRule="auto"/>
        <w:jc w:val="center"/>
        <w:rPr>
          <w:rFonts w:ascii="黑体" w:hAnsi="仿宋" w:eastAsia="黑体" w:cs="宋体"/>
          <w:spacing w:val="-6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第一章  总则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为规范科研项目管理，明确科研项目首席专家的职责与管理权限，充分调动科研项目首席专家潜心科学研究的积极性和主动性，进一步提高科研项目管理的质量和效率，特制定本管理办法。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本办法所指科研项目包括在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党委政府部门、企事业单位等获得批准立项，委托广西社会道德文化研究会高端智库开展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科研、调研等项目。项目首席专家是指在已被批准立项的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项目中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所确定的项目负责人。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项目首席专家是科研项目的直接组织者和管理者，充分享受项目研究管理的各项权益，全面负责项目资金的预算和使用管理，并对完成项目任务承担直接责任。</w:t>
      </w:r>
    </w:p>
    <w:p>
      <w:pPr>
        <w:widowControl/>
        <w:spacing w:line="360" w:lineRule="auto"/>
        <w:ind w:firstLine="536" w:firstLineChars="200"/>
        <w:jc w:val="center"/>
        <w:rPr>
          <w:rFonts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第二章  首席专家的职责与权利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项目首席专家的主要职责和权利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1.代表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专家团队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洽谈科研合同事宜，经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论证通过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批准后，代表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签署科研合同。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2.项目立项后，应按照有关要求，组织项目开题，编制项目研究计划、任务书和项目经费预算。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3.按合同或在批复的项目预算范围，按进度自主决定经费支出。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4.主持项目的研究工作，自主确定和调整项目组成员的组成、排序以及任务分工，根据立项单位规定报备或报批后执行。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5.依规决定项目科研仪器设备的选型和采购方案。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6.组织开展项目研究工作，确保高质量完成项目研究，并按时结题。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7.其他由立项单位规定的职责和义务。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首席专家的经费使用权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1.在遵守国家法律、法规和学校有关规定的前提下，决定项目研究经费使用和分配。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2.按合同或批复的预算，负责项目经费的使用审批：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项目预算内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一次性支出不超过3万元的经费开支，直接由首席专家签字批准，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登记，财务报销。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项目预算内一次性支出超过3万元的经费开支，由首席专家签字批准，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登记，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其他主次要专家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审核，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研究会领导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批准，财务报销。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需调整经费预算的，由首席专家按规定自主提出调整方案，向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报备或经立项单位批准后执行。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4.首席专家对科研经费支出的合理性、真实性和相关性承担完全责任，并自觉</w:t>
      </w:r>
      <w:r>
        <w:rPr>
          <w:rFonts w:hint="eastAsia" w:ascii="仿宋_GB2312" w:hAnsi="仿宋" w:eastAsia="仿宋_GB2312" w:cs="Arial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接受有关部门及学校的监督、检查、审计。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首席专家的项目研究日常管理权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1.以批准的项目申报书、可行性报告、合同文本或计划任务书约定的考核目标为依据，主持项目研究工作，全权管理项目组日常研究事务。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2.及时、客观向项目立项单位反映项目研究计划执行中的问题，自主提出调整方案，并按项目立项单位的批复方案执行。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3.负责项目组成员研究工作的考核评价，全权决定项目组成员的组成、调整、排序及分工，项目组成员及排序调整不得晚于项目批准完成时间的三个月前。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项目负责人的成果管理权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1.对项目研究中获得的科研成果及时采取知识产权保护措施。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2.全权确定项目阶段性成果和最终成果的出版发表、鉴定（评审）、登记、申报专利和申报奖励等事项，及成果主要完成人的署名和排序。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3.依照有关规定，全面参与项目成果的转让转化、以项目成果作价入股创办科技企业等事务。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4.依照有关规定，主导通过项目成果获奖、转让等途径所取得的各种合法收入的使用或分配。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在项目研究过程中，首席专家必须检查和督促项目组成员严守学术道德规范，杜绝学术不端。</w:t>
      </w:r>
    </w:p>
    <w:p>
      <w:pPr>
        <w:widowControl/>
        <w:spacing w:line="360" w:lineRule="auto"/>
        <w:ind w:firstLine="536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首席专家对项目研究工作、项目研究成果、项目经费使用以及项目执行中出现的经济问题承担全部责任，项目负责人出现弄虚作假，截留、挪用、挤占项目经费等违反财经纪律行为或有关规定的，一经查实，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案有关规定处理。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536" w:firstLineChars="200"/>
        <w:jc w:val="center"/>
        <w:rPr>
          <w:rFonts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第三章   首席专家的委托代理或变更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首席专家因工作调动或其他原因，实际无法承担项目研究工作连续半年以上、一年以内的，应指定项目代理人，经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论证通过后，报项目立项单位批复后执行。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第十一条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首席专家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因工作调动或其他原因，实际无法承担项目研究工作连续一年以上的，应变更项目负责人，经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论证通过后，报项目立项单位批复后执行。原项目负责人应完整移交项目经费购置的仪器设备和研究资料等。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在首席专家出现明显过失或无法完成项目计划任务的情况下，经项目立项单位同意，可以变更项目负责人，以保证项目计划任务得以完成。</w:t>
      </w:r>
    </w:p>
    <w:p>
      <w:pPr>
        <w:widowControl/>
        <w:spacing w:line="360" w:lineRule="auto"/>
        <w:ind w:firstLine="536" w:firstLineChars="200"/>
        <w:jc w:val="center"/>
        <w:rPr>
          <w:rFonts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第四章   附则</w:t>
      </w:r>
    </w:p>
    <w:p>
      <w:pPr>
        <w:widowControl/>
        <w:spacing w:line="360" w:lineRule="auto"/>
        <w:ind w:firstLine="536" w:firstLineChars="200"/>
        <w:jc w:val="left"/>
        <w:rPr>
          <w:rFonts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研究会专家智库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相关规定</w:t>
      </w: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、管理办法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与本办法相抵触的，按本办法执行。其他未尽事宜按相关法规、文件执行。</w:t>
      </w:r>
    </w:p>
    <w:p>
      <w:pPr>
        <w:widowControl/>
        <w:spacing w:line="360" w:lineRule="auto"/>
        <w:ind w:firstLine="536" w:firstLineChars="200"/>
        <w:jc w:val="left"/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仿宋" w:eastAsia="黑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本办法自发布之日起施行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广西社会道德文化研究会负责</w:t>
      </w: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解释。</w:t>
      </w:r>
    </w:p>
    <w:p>
      <w:pPr>
        <w:widowControl/>
        <w:spacing w:line="360" w:lineRule="auto"/>
        <w:ind w:firstLine="536" w:firstLineChars="200"/>
        <w:jc w:val="left"/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36" w:firstLineChars="200"/>
        <w:jc w:val="left"/>
        <w:rPr>
          <w:rFonts w:hint="eastAsia" w:ascii="仿宋_GB2312" w:hAnsi="仿宋" w:eastAsia="仿宋_GB2312" w:cs="宋体"/>
          <w:b/>
          <w:bCs/>
          <w:color w:val="000000" w:themeColor="text1"/>
          <w:spacing w:val="-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" w:eastAsia="仿宋_GB2312" w:cs="宋体"/>
          <w:b/>
          <w:bCs/>
          <w:color w:val="000000" w:themeColor="text1"/>
          <w:spacing w:val="-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广西社会道德文化研究会</w:t>
      </w:r>
    </w:p>
    <w:p>
      <w:pPr>
        <w:widowControl/>
        <w:spacing w:line="360" w:lineRule="auto"/>
        <w:ind w:firstLine="538" w:firstLineChars="200"/>
        <w:jc w:val="left"/>
        <w:rPr>
          <w:rFonts w:hint="default" w:ascii="仿宋_GB2312" w:hAnsi="仿宋" w:eastAsia="仿宋_GB2312" w:cs="宋体"/>
          <w:b/>
          <w:bCs/>
          <w:color w:val="000000" w:themeColor="text1"/>
          <w:spacing w:val="-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bCs/>
          <w:color w:val="000000" w:themeColor="text1"/>
          <w:spacing w:val="-6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2018年6月5日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810"/>
    <w:rsid w:val="000A195C"/>
    <w:rsid w:val="000A4C79"/>
    <w:rsid w:val="000C03E6"/>
    <w:rsid w:val="000E3CB2"/>
    <w:rsid w:val="000E6DD0"/>
    <w:rsid w:val="00102214"/>
    <w:rsid w:val="001A5184"/>
    <w:rsid w:val="00200850"/>
    <w:rsid w:val="002113AD"/>
    <w:rsid w:val="00212386"/>
    <w:rsid w:val="00246ACB"/>
    <w:rsid w:val="002472AB"/>
    <w:rsid w:val="002556A4"/>
    <w:rsid w:val="002B43BF"/>
    <w:rsid w:val="002D4D17"/>
    <w:rsid w:val="002D4FF2"/>
    <w:rsid w:val="00307EB5"/>
    <w:rsid w:val="003175C4"/>
    <w:rsid w:val="003418FA"/>
    <w:rsid w:val="003421F8"/>
    <w:rsid w:val="003558B2"/>
    <w:rsid w:val="00385BEC"/>
    <w:rsid w:val="003A1A7B"/>
    <w:rsid w:val="003B735B"/>
    <w:rsid w:val="003D1F1A"/>
    <w:rsid w:val="003D5211"/>
    <w:rsid w:val="003F6FF8"/>
    <w:rsid w:val="00465065"/>
    <w:rsid w:val="0047418B"/>
    <w:rsid w:val="004A54D6"/>
    <w:rsid w:val="004B41B7"/>
    <w:rsid w:val="004C1835"/>
    <w:rsid w:val="004C632C"/>
    <w:rsid w:val="00524BC2"/>
    <w:rsid w:val="00532B4A"/>
    <w:rsid w:val="0054334A"/>
    <w:rsid w:val="00546A2F"/>
    <w:rsid w:val="00582CB3"/>
    <w:rsid w:val="005871DA"/>
    <w:rsid w:val="005A3137"/>
    <w:rsid w:val="005C00B5"/>
    <w:rsid w:val="005D47B4"/>
    <w:rsid w:val="005D718E"/>
    <w:rsid w:val="005F53F0"/>
    <w:rsid w:val="00637A38"/>
    <w:rsid w:val="006410B0"/>
    <w:rsid w:val="006549A2"/>
    <w:rsid w:val="00660B11"/>
    <w:rsid w:val="006704BC"/>
    <w:rsid w:val="00687FC2"/>
    <w:rsid w:val="00697233"/>
    <w:rsid w:val="00700014"/>
    <w:rsid w:val="00705321"/>
    <w:rsid w:val="00734B10"/>
    <w:rsid w:val="00737EB4"/>
    <w:rsid w:val="00760207"/>
    <w:rsid w:val="00785C57"/>
    <w:rsid w:val="007A02FF"/>
    <w:rsid w:val="00806396"/>
    <w:rsid w:val="008209E8"/>
    <w:rsid w:val="00825306"/>
    <w:rsid w:val="008552A6"/>
    <w:rsid w:val="0086489F"/>
    <w:rsid w:val="00876601"/>
    <w:rsid w:val="008C6955"/>
    <w:rsid w:val="008E7CFF"/>
    <w:rsid w:val="008F0332"/>
    <w:rsid w:val="0091189B"/>
    <w:rsid w:val="00912349"/>
    <w:rsid w:val="00952E71"/>
    <w:rsid w:val="00981740"/>
    <w:rsid w:val="0098785E"/>
    <w:rsid w:val="009A6636"/>
    <w:rsid w:val="009B7638"/>
    <w:rsid w:val="009C3482"/>
    <w:rsid w:val="009E47F0"/>
    <w:rsid w:val="00A30382"/>
    <w:rsid w:val="00A32968"/>
    <w:rsid w:val="00A5777E"/>
    <w:rsid w:val="00A635ED"/>
    <w:rsid w:val="00A70D31"/>
    <w:rsid w:val="00A90C6C"/>
    <w:rsid w:val="00AD1C21"/>
    <w:rsid w:val="00AF2B18"/>
    <w:rsid w:val="00B0039B"/>
    <w:rsid w:val="00B041F1"/>
    <w:rsid w:val="00B30666"/>
    <w:rsid w:val="00B37B24"/>
    <w:rsid w:val="00B60FD4"/>
    <w:rsid w:val="00BB4810"/>
    <w:rsid w:val="00BC1106"/>
    <w:rsid w:val="00BC36D4"/>
    <w:rsid w:val="00BE49E7"/>
    <w:rsid w:val="00BF0854"/>
    <w:rsid w:val="00C4274D"/>
    <w:rsid w:val="00C46D9A"/>
    <w:rsid w:val="00C55E10"/>
    <w:rsid w:val="00C7059F"/>
    <w:rsid w:val="00C746A8"/>
    <w:rsid w:val="00C84FF5"/>
    <w:rsid w:val="00C85A4C"/>
    <w:rsid w:val="00C90659"/>
    <w:rsid w:val="00C973DD"/>
    <w:rsid w:val="00CC02A3"/>
    <w:rsid w:val="00CC60B0"/>
    <w:rsid w:val="00CF5806"/>
    <w:rsid w:val="00CF62DF"/>
    <w:rsid w:val="00D17642"/>
    <w:rsid w:val="00D27400"/>
    <w:rsid w:val="00D32755"/>
    <w:rsid w:val="00D32C4C"/>
    <w:rsid w:val="00D34D4D"/>
    <w:rsid w:val="00D56382"/>
    <w:rsid w:val="00D6175E"/>
    <w:rsid w:val="00D64843"/>
    <w:rsid w:val="00D70E21"/>
    <w:rsid w:val="00D72232"/>
    <w:rsid w:val="00D84ED2"/>
    <w:rsid w:val="00D90E79"/>
    <w:rsid w:val="00D91527"/>
    <w:rsid w:val="00DA05C8"/>
    <w:rsid w:val="00DA1106"/>
    <w:rsid w:val="00DA2835"/>
    <w:rsid w:val="00DC1691"/>
    <w:rsid w:val="00DC1B1B"/>
    <w:rsid w:val="00DC72F6"/>
    <w:rsid w:val="00DC7E99"/>
    <w:rsid w:val="00E012B1"/>
    <w:rsid w:val="00E328CD"/>
    <w:rsid w:val="00E32CD7"/>
    <w:rsid w:val="00E54395"/>
    <w:rsid w:val="00E97ECD"/>
    <w:rsid w:val="00EB5953"/>
    <w:rsid w:val="00ED54D5"/>
    <w:rsid w:val="00F15415"/>
    <w:rsid w:val="00F15BB7"/>
    <w:rsid w:val="00F31DDB"/>
    <w:rsid w:val="00F36F8A"/>
    <w:rsid w:val="00F40D52"/>
    <w:rsid w:val="00F564BE"/>
    <w:rsid w:val="00F743DC"/>
    <w:rsid w:val="00F745E7"/>
    <w:rsid w:val="00FD371B"/>
    <w:rsid w:val="00FE7EF5"/>
    <w:rsid w:val="1EDB3BA3"/>
    <w:rsid w:val="548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正文文本缩进 Char"/>
    <w:basedOn w:val="4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85E4B-E7C8-44CA-A563-32FEB9C41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312</Words>
  <Characters>1784</Characters>
  <Lines>14</Lines>
  <Paragraphs>4</Paragraphs>
  <TotalTime>4</TotalTime>
  <ScaleCrop>false</ScaleCrop>
  <LinksUpToDate>false</LinksUpToDate>
  <CharactersWithSpaces>2092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2018-09-05T04:42:00Z</dcterms:created>
  <dc:creator>陈继元</dc:creator>
  <cp:lastModifiedBy>欧歌</cp:lastModifiedBy>
  <cp:lastPrinted>2018-09-11T05:33:00Z</cp:lastPrinted>
  <dcterms:modified xsi:type="dcterms:W3CDTF">2021-11-17T02:29:47Z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5D665532830E4556AEC9F856A9F369CE</vt:lpwstr>
  </property>
</Properties>
</file>